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auto"/>
          <w:kern w:val="0"/>
          <w:szCs w:val="24"/>
          <w:lang w:eastAsia="zh-CN"/>
        </w:rPr>
      </w:pPr>
      <w:r>
        <w:rPr>
          <w:rFonts w:ascii="黑体" w:hAnsi="黑体" w:eastAsia="黑体"/>
          <w:color w:val="auto"/>
          <w:kern w:val="0"/>
          <w:szCs w:val="24"/>
        </w:rPr>
        <w:t>附件</w:t>
      </w:r>
      <w:r>
        <w:rPr>
          <w:rFonts w:hint="eastAsia" w:ascii="黑体" w:hAnsi="黑体" w:eastAsia="黑体"/>
          <w:color w:val="auto"/>
          <w:kern w:val="0"/>
          <w:szCs w:val="24"/>
          <w:lang w:val="en-US" w:eastAsia="zh-CN"/>
        </w:rPr>
        <w:t>6</w:t>
      </w:r>
    </w:p>
    <w:p>
      <w:pPr>
        <w:spacing w:line="600" w:lineRule="exact"/>
        <w:ind w:firstLine="1551" w:firstLineChars="494"/>
        <w:rPr>
          <w:color w:val="auto"/>
          <w:szCs w:val="32"/>
        </w:rPr>
      </w:pPr>
    </w:p>
    <w:p>
      <w:pPr>
        <w:spacing w:line="600" w:lineRule="exact"/>
        <w:ind w:left="868" w:hanging="868" w:hangingChars="20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专业</w:t>
      </w:r>
      <w:r>
        <w:rPr>
          <w:rFonts w:hint="eastAsia" w:eastAsia="方正小标宋简体"/>
          <w:color w:val="auto"/>
          <w:sz w:val="44"/>
          <w:szCs w:val="44"/>
        </w:rPr>
        <w:t>名称</w:t>
      </w:r>
      <w:r>
        <w:rPr>
          <w:rFonts w:eastAsia="方正小标宋简体"/>
          <w:color w:val="auto"/>
          <w:sz w:val="44"/>
          <w:szCs w:val="44"/>
        </w:rPr>
        <w:t>与申报类别对应表</w:t>
      </w:r>
    </w:p>
    <w:p>
      <w:pPr>
        <w:spacing w:line="600" w:lineRule="exact"/>
        <w:ind w:left="868" w:hanging="868" w:hangingChars="200"/>
        <w:jc w:val="center"/>
        <w:rPr>
          <w:rFonts w:eastAsia="方正小标宋简体"/>
          <w:color w:val="auto"/>
          <w:sz w:val="44"/>
          <w:szCs w:val="44"/>
        </w:rPr>
      </w:pPr>
    </w:p>
    <w:p>
      <w:pPr>
        <w:spacing w:line="580" w:lineRule="exact"/>
        <w:ind w:firstLine="628" w:firstLineChars="200"/>
        <w:jc w:val="left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一、交通运输工程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交通运输规划 (对应：规划与设计)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工程勘察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公路工程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桥隧工程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道桥工程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港口航道与海岸工程 </w:t>
      </w:r>
      <w:r>
        <w:rPr>
          <w:rFonts w:hint="eastAsia" w:ascii="仿宋_GB2312" w:hAnsi="仿宋_GB2312" w:eastAsia="仿宋_GB2312"/>
          <w:color w:val="auto"/>
          <w:spacing w:val="-20"/>
          <w:sz w:val="32"/>
          <w:szCs w:val="32"/>
        </w:rPr>
        <w:t>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给排水工程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工程景观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岩土工程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工程造价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工程管理 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试验检测 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运输与物流管理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船舶工程（对应：运营与管理）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海事管理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机电设备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交通信息与控制工程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交安设施(对应：规划与设计/建设与监理)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港口装卸工艺(对应：建设与监理)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工程水文(对应：规划与设计/建设与监理)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工程测量(对应：建设与监理)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环境保护(对应：规划与设计/建设与监理)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交通建筑(对应：规划与设计/建设与监理)</w:t>
      </w:r>
    </w:p>
    <w:p>
      <w:pPr>
        <w:spacing w:line="580" w:lineRule="exact"/>
        <w:ind w:firstLine="628" w:firstLineChars="200"/>
        <w:jc w:val="left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二、轨道交通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轨道交通规划咨询（对应：规划与设计）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线路工程（轨道与铁路）（对应：规划与设计）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路基工程（轨道与铁路）</w:t>
      </w:r>
      <w:r>
        <w:rPr>
          <w:rFonts w:hint="eastAsia" w:ascii="仿宋_GB2312" w:hAnsi="仿宋_GB2312" w:eastAsia="仿宋_GB2312"/>
          <w:color w:val="auto"/>
          <w:spacing w:val="-20"/>
          <w:sz w:val="32"/>
          <w:szCs w:val="32"/>
        </w:rPr>
        <w:t>（对应：规划与设计/建设与监理）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轨道工程（对应：规划与设计/建设与监理）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桥梁工程（轨道与铁路）</w:t>
      </w:r>
      <w:r>
        <w:rPr>
          <w:rFonts w:hint="eastAsia" w:ascii="仿宋_GB2312" w:hAnsi="仿宋_GB2312" w:eastAsia="仿宋_GB2312"/>
          <w:color w:val="auto"/>
          <w:spacing w:val="-20"/>
          <w:sz w:val="32"/>
          <w:szCs w:val="32"/>
        </w:rPr>
        <w:t>（对应：规划与设计/建设与监理）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596" w:firstLineChars="200"/>
        <w:rPr>
          <w:rFonts w:ascii="仿宋_GB2312" w:hAnsi="仿宋_GB2312" w:eastAsia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w w:val="95"/>
          <w:sz w:val="32"/>
          <w:szCs w:val="32"/>
        </w:rPr>
        <w:t>隧道工程（轨道与铁路）（对应：规划与设计/建设与监理）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给排水工程（轨道与铁路）（对应：规划与设计）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站场工程（轨道与铁路）</w:t>
      </w:r>
      <w:r>
        <w:rPr>
          <w:rFonts w:hint="eastAsia" w:ascii="仿宋_GB2312" w:hAnsi="仿宋_GB2312" w:eastAsia="仿宋_GB2312"/>
          <w:color w:val="auto"/>
          <w:spacing w:val="-20"/>
          <w:sz w:val="32"/>
          <w:szCs w:val="32"/>
        </w:rPr>
        <w:t>（对应：规划与设计/建设与监理）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工程造价（轨道与铁路）（对应：</w:t>
      </w:r>
      <w:r>
        <w:rPr>
          <w:rFonts w:hint="eastAsia" w:ascii="仿宋_GB2312" w:hAnsi="仿宋_GB2312" w:eastAsia="仿宋_GB2312"/>
          <w:color w:val="auto"/>
          <w:spacing w:val="-20"/>
          <w:sz w:val="32"/>
          <w:szCs w:val="32"/>
        </w:rPr>
        <w:t>规划与设计/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工程管理（轨道与铁路）（对应：建设与监理）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工务工程（轨道与铁路）（对应：设施与运营）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机辆工程（轨道与铁路）（对应：设施与运营）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运输设备工程（轨道与铁路）（对应：设施与运营）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通信工程（轨道与铁路）（对应：设施与运营）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信号工程（轨道与铁路）（对应：设施与运营）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机电工程（轨道与铁路）（对应：设施与运营）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供电工程（轨道与铁路）（对应：设施与运营）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暖通工程（轨道与铁路）（对应：设施与运营）</w:t>
      </w:r>
    </w:p>
    <w:p>
      <w:pPr>
        <w:pStyle w:val="6"/>
        <w:numPr>
          <w:ilvl w:val="0"/>
          <w:numId w:val="1"/>
        </w:numPr>
        <w:spacing w:line="580" w:lineRule="exact"/>
        <w:ind w:left="0" w:firstLine="628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运输管理（轨道与铁路）（对应：设施与运营）</w:t>
      </w:r>
    </w:p>
    <w:p>
      <w:pPr>
        <w:tabs>
          <w:tab w:val="left" w:pos="8760"/>
        </w:tabs>
        <w:spacing w:line="580" w:lineRule="atLeast"/>
        <w:ind w:right="1294" w:firstLine="628" w:firstLineChars="200"/>
        <w:rPr>
          <w:rFonts w:hint="eastAsia" w:ascii="仿宋_GB2312" w:hAnsi="仿宋_GB2312"/>
          <w:color w:val="auto"/>
          <w:szCs w:val="32"/>
        </w:rPr>
      </w:pPr>
    </w:p>
    <w:p>
      <w:pPr>
        <w:tabs>
          <w:tab w:val="left" w:pos="7512"/>
          <w:tab w:val="left" w:pos="8760"/>
        </w:tabs>
        <w:spacing w:line="580" w:lineRule="atLeast"/>
        <w:ind w:right="85" w:firstLine="628" w:firstLineChars="200"/>
        <w:rPr>
          <w:rFonts w:ascii="仿宋_GB2312" w:hAnsi="仿宋_GB2312"/>
          <w:color w:val="auto"/>
          <w:szCs w:val="32"/>
        </w:rPr>
      </w:pPr>
      <w:r>
        <w:rPr>
          <w:rFonts w:hint="eastAsia" w:ascii="仿宋_GB2312" w:hAnsi="仿宋_GB2312"/>
          <w:color w:val="auto"/>
          <w:szCs w:val="32"/>
        </w:rPr>
        <w:t>说明：“交通运输—运营管理”类指交通运输相关的各类小专业，包含船舶工程、机电设备、交通信息与控制的方向的设计、开发、安装、维护等。</w:t>
      </w:r>
    </w:p>
    <w:p>
      <w:pPr>
        <w:spacing w:line="580" w:lineRule="atLeast"/>
        <w:ind w:right="1294"/>
        <w:rPr>
          <w:color w:val="auto"/>
          <w:szCs w:val="32"/>
        </w:rPr>
      </w:pPr>
    </w:p>
    <w:p>
      <w:pPr>
        <w:spacing w:line="580" w:lineRule="atLeast"/>
        <w:ind w:right="1294"/>
        <w:rPr>
          <w:color w:val="auto"/>
          <w:szCs w:val="32"/>
        </w:rPr>
      </w:pPr>
    </w:p>
    <w:p>
      <w:pPr>
        <w:spacing w:line="580" w:lineRule="atLeast"/>
        <w:ind w:right="1294"/>
        <w:rPr>
          <w:color w:val="auto"/>
          <w:szCs w:val="32"/>
        </w:rPr>
      </w:pPr>
    </w:p>
    <w:p>
      <w:pPr>
        <w:spacing w:line="580" w:lineRule="atLeast"/>
        <w:ind w:right="1294"/>
        <w:rPr>
          <w:color w:val="auto"/>
          <w:szCs w:val="32"/>
        </w:rPr>
      </w:pPr>
    </w:p>
    <w:p>
      <w:pPr>
        <w:spacing w:line="580" w:lineRule="atLeast"/>
        <w:ind w:right="1294"/>
        <w:rPr>
          <w:color w:val="auto"/>
          <w:szCs w:val="32"/>
        </w:rPr>
      </w:pPr>
    </w:p>
    <w:p>
      <w:pPr>
        <w:spacing w:line="580" w:lineRule="atLeast"/>
        <w:ind w:right="1294"/>
        <w:rPr>
          <w:color w:val="auto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701" w:right="1474" w:bottom="1134" w:left="1587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879"/>
    <w:multiLevelType w:val="multilevel"/>
    <w:tmpl w:val="1098487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D7E51"/>
    <w:rsid w:val="636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2023-08-04T02:34:00Z</dcterms:created>
  <dc:creator>tzjt</dc:creator>
  <cp:lastModifiedBy>tzjt</cp:lastModifiedBy>
  <dcterms:modified xsi:type="dcterms:W3CDTF">2023-08-04T02:37:12Z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